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7679" w:leader="none"/>
          <w:tab w:val="left" w:pos="8530" w:leader="none"/>
          <w:tab w:val="left" w:pos="9349" w:leader="none"/>
          <w:tab w:val="left" w:pos="9381" w:leader="none"/>
          <w:tab w:val="left" w:pos="10232" w:leader="none"/>
          <w:tab w:val="left" w:pos="11083" w:leader="none"/>
          <w:tab w:val="left" w:pos="11933" w:leader="none"/>
          <w:tab w:val="left" w:pos="12784" w:leader="none"/>
          <w:tab w:val="left" w:pos="13635" w:leader="none"/>
          <w:tab w:val="left" w:pos="14486" w:leader="none"/>
          <w:tab w:val="left" w:pos="15337" w:leader="none"/>
        </w:tabs>
        <w:ind w:left="2832" w:right="0" w:hanging="0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tabs>
          <w:tab w:val="clear" w:pos="720"/>
          <w:tab w:val="left" w:pos="7679" w:leader="none"/>
          <w:tab w:val="left" w:pos="8530" w:leader="none"/>
          <w:tab w:val="left" w:pos="9349" w:leader="none"/>
          <w:tab w:val="left" w:pos="9381" w:leader="none"/>
          <w:tab w:val="left" w:pos="10232" w:leader="none"/>
          <w:tab w:val="left" w:pos="11083" w:leader="none"/>
          <w:tab w:val="left" w:pos="11933" w:leader="none"/>
          <w:tab w:val="left" w:pos="12784" w:leader="none"/>
          <w:tab w:val="left" w:pos="13635" w:leader="none"/>
          <w:tab w:val="left" w:pos="14486" w:leader="none"/>
          <w:tab w:val="left" w:pos="15337" w:leader="none"/>
        </w:tabs>
        <w:ind w:left="2832" w:right="0" w:hanging="0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TERMO DE COMPROMISSO E RESPONSABILIDADE DE BOLSA DE APOIO À CRIAÇÃO E CIRCULAÇÃO ARTÍSTICA DA  UFSJ</w:t>
      </w:r>
    </w:p>
    <w:p>
      <w:pPr>
        <w:pStyle w:val="Normal1"/>
        <w:tabs>
          <w:tab w:val="clear" w:pos="720"/>
          <w:tab w:val="left" w:pos="3370" w:leader="none"/>
          <w:tab w:val="left" w:pos="4221" w:leader="none"/>
          <w:tab w:val="left" w:pos="5040" w:leader="none"/>
          <w:tab w:val="left" w:pos="5072" w:leader="none"/>
          <w:tab w:val="left" w:pos="5923" w:leader="none"/>
          <w:tab w:val="left" w:pos="6774" w:leader="none"/>
          <w:tab w:val="left" w:pos="7624" w:leader="none"/>
          <w:tab w:val="left" w:pos="8475" w:leader="none"/>
          <w:tab w:val="left" w:pos="9326" w:leader="none"/>
          <w:tab w:val="left" w:pos="10177" w:leader="none"/>
          <w:tab w:val="left" w:pos="11028" w:leader="none"/>
        </w:tabs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Pelo presente instrumento e na melhor forma de direito, de um lado 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de São João del Rei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situada à Praça Frei Orlando, nº 170, Centro, em São João del Rei/MG, inscrita no CNPJ sob o nº 21.186.804/0001-05, instituída pela Lei 10.425 de 19 de abril de 2002 – DOU de 22 de abril de 2002, representada pelo(a) docente/técnico(a) na condição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COORDENADOR,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XXXXXXXXXXXXXXXXXXXX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do Deptº/Unidade Administrativa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XXXXXXXXXXXXXXXXXXXXXXX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portador (a) da Carteira de Identidade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e do CPF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e, de outro lado, como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BOLSISTA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o(a) aluno(a)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XXXXXXXXXXXXXXXXXXXX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do curso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portador (a) da Carteira de Identidade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e do CPF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lightGray"/>
          <w:u w:val="none"/>
          <w:vertAlign w:val="baseline"/>
        </w:rPr>
        <w:t>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com arrimo no Edital 00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7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/UFSJ/PROEX, de 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setembro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Apoio à Criação e Circulação Artística da UFSJ, resolvem celebrar o presente TERMO DE COMPROMISSO E RESPONSABILIDADE DE BOLSA DE EXTENSÃO que será regido pelas cláusulas e condições a seguir explicitadas: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CLÁUSULA PRIMEIRA – DO OBJETO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1.1 - O presente Termo de Compromisso e responsabilidade tem, por objeto, o desenvolvimento do projeto </w:t>
      </w:r>
      <w:r>
        <w:rPr>
          <w:rFonts w:eastAsia="Arial" w:cs="Arial" w:ascii="Arial" w:hAnsi="Arial"/>
          <w:position w:val="0"/>
          <w:sz w:val="20"/>
          <w:sz w:val="20"/>
          <w:szCs w:val="20"/>
          <w:highlight w:val="lightGray"/>
          <w:vertAlign w:val="baseline"/>
        </w:rPr>
        <w:t>XXXXXXXXXXXXXXXXXXX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tendo a participação do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(a) 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acima referenciado.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CLÁUSULA SEGUNDA – DAS OBRIGAÇÕES DAS PARTES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2.1  São obrigações do Coordenador do Projeto: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2.1.1 - Orientar e acompanhar o desenvolvimento das atividades propostas no Plano de Trabalho do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, inclusive a elaboração de relatórios;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2.1.2 - Incluir o nome do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nas publicações e nos trabalhos apresentados em Congressos, Encontros e Seminários, cujos resultados tiverem sua participação efetiva;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2.1.3 - Comunicar à Pró-Reitoria de Extensão e Assuntos Comunitários - PROEX qualquer eventual irregularidade no desenvolvimento do projeto pelo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ou a infrequência do mesmo, Os pedidos para inclusão e substituição de bolsista devem ser realizados por correio eletrônico (sepac@ufsj.edu.br), em formulário específico, até dia 15 de cada mês.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2.1.4 - Desligar 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do projeto antes de sua desvinculação junto à UFSJ (por qualquer que seja o motivo;</w:t>
      </w:r>
    </w:p>
    <w:p>
      <w:pPr>
        <w:pStyle w:val="Normal1"/>
        <w:tabs>
          <w:tab w:val="clear" w:pos="720"/>
          <w:tab w:val="left" w:pos="851" w:leader="none"/>
        </w:tabs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2.2 - São obrigações do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2.2.1 – Examinar e assinar o presente Termo de Compromisso e Responsabilidade para certificar-se de seus direitos, deveres e obrigações de acordo com as normas constantes no Edital n°003/2020/UFSJ/PROEX;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2.2.2 – Receber apenas esta modalidade de bolsa, sendo vedada a acumulação com qualquer modalidade de bolsa de outro programa da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UFSJ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ou de outra agência de fomento pública ou privada nacional e/ou internacional, bem como manter vínculo empregatício. Alunos beneficiários do Auxílio de Promoção Socioacadêmica devem observar as normas da Resolução nº. 033/2014/UFSJ, a qual “institui a política e estabelece os programas de assistência estudantil no âmbito da UFSJ”;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2.2.3 - Executar as atividades previstas no Plano de Trabalho;</w:t>
      </w:r>
      <w:bookmarkStart w:id="0" w:name="bookmark=id.gjdgxs"/>
      <w:bookmarkEnd w:id="0"/>
    </w:p>
    <w:p>
      <w:pPr>
        <w:pStyle w:val="Normal1"/>
        <w:tabs>
          <w:tab w:val="clear" w:pos="720"/>
          <w:tab w:val="left" w:pos="1080" w:leader="none"/>
        </w:tabs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2.2.7 – Dedicar 20 (vinte) horas semanais às atividades previstas no Plano de Trabalho;</w:t>
      </w:r>
    </w:p>
    <w:p>
      <w:pPr>
        <w:pStyle w:val="Normal1"/>
        <w:tabs>
          <w:tab w:val="clear" w:pos="720"/>
          <w:tab w:val="left" w:pos="1080" w:leader="none"/>
        </w:tabs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2.2.8 - Desligar-se do projeto antes de sua desvinculação junto à UFSJ (por qualquer que seja o motivo), comunicando oficialmente ao Coordenador do projeto, que formalizará o desligamento ao SEPAC;</w:t>
      </w:r>
    </w:p>
    <w:p>
      <w:pPr>
        <w:pStyle w:val="Normal1"/>
        <w:tabs>
          <w:tab w:val="clear" w:pos="720"/>
          <w:tab w:val="left" w:pos="1080" w:leader="none"/>
        </w:tabs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2.2.9 - Em caso de recebimento indevido do valor da bolsa, efetuar a devolução da importância através de Guia de Recolhimento da União – GRU, enviando o comprovante ao SEPAC;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CLÁUSULA TERCEIRA – DISPOSIÇÕES GERAIS</w:t>
      </w:r>
    </w:p>
    <w:p>
      <w:pPr>
        <w:pStyle w:val="Normal1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3.1 – A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UFSJ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se exime de qualquer responsabilidade de pagamentos adicionais que não estejam estritamente relacionados ao valor da bolsa;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3.2 – A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UFSJ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não se responsabiliza por qualquer dano físico ou mental causado ao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BOLSISTA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e/ou voluntários participantes na execução das atividades das propostas apoiadas;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3.3 – 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BOLSISTA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declara que tem plena condição de realizar as atividades previstas e que envidará todos os esforços para que seus objetivos sejam atingidos;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3.4 – O presente Termo não corresponde a qualquer espécie de relação de emprego entre 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BOLSISTA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 a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UFSJ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3.5 - </w:t>
      </w:r>
      <w:r>
        <w:rPr>
          <w:rFonts w:eastAsia="Arial" w:cs="Arial" w:ascii="Arial" w:hAnsi="Arial"/>
          <w:color w:val="222222"/>
          <w:position w:val="0"/>
          <w:sz w:val="20"/>
          <w:sz w:val="20"/>
          <w:szCs w:val="20"/>
          <w:highlight w:val="white"/>
          <w:vertAlign w:val="baseline"/>
        </w:rPr>
        <w:t>Os conhecimentos e produtos gerados no âmbito da ação extensionista constituem-se de um trabalho coletivo, não podendo ser apresentados como autoria individual.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color w:val="222222"/>
          <w:position w:val="0"/>
          <w:sz w:val="20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20"/>
          <w:sz w:val="20"/>
          <w:szCs w:val="20"/>
          <w:highlight w:val="white"/>
          <w:vertAlign w:val="baseline"/>
        </w:rPr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CLÁUSULA QUARTA – DA VIGÊNCIA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5.1 - O prazo de vigência do presente Termo será  da 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data 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shd w:fill="B7B7B7" w:val="clear"/>
          <w:vertAlign w:val="baseline"/>
        </w:rPr>
        <w:t>______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 de 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shd w:fill="B7B7B7" w:val="clear"/>
          <w:vertAlign w:val="baseline"/>
        </w:rPr>
        <w:t>____</w:t>
      </w:r>
      <w:r>
        <w:rPr>
          <w:rFonts w:eastAsia="Arial" w:cs="Arial" w:ascii="Arial" w:hAnsi="Arial"/>
          <w:sz w:val="20"/>
          <w:szCs w:val="20"/>
          <w:shd w:fill="B7B7B7" w:val="clear"/>
        </w:rPr>
        <w:t>_________________</w:t>
      </w:r>
      <w:r>
        <w:rPr>
          <w:rFonts w:eastAsia="Arial" w:cs="Arial" w:ascii="Arial" w:hAnsi="Arial"/>
          <w:sz w:val="20"/>
          <w:szCs w:val="20"/>
        </w:rPr>
        <w:t xml:space="preserve"> de 202</w:t>
      </w:r>
      <w:r>
        <w:rPr>
          <w:rFonts w:eastAsia="Arial" w:cs="Arial" w:ascii="Arial" w:hAnsi="Arial"/>
          <w:sz w:val="20"/>
          <w:szCs w:val="20"/>
        </w:rPr>
        <w:t>2</w:t>
      </w:r>
      <w:r>
        <w:rPr>
          <w:rFonts w:eastAsia="Arial" w:cs="Arial" w:ascii="Arial" w:hAnsi="Arial"/>
          <w:sz w:val="20"/>
          <w:szCs w:val="20"/>
        </w:rPr>
        <w:t xml:space="preserve"> a </w:t>
      </w:r>
      <w:r>
        <w:rPr>
          <w:rFonts w:eastAsia="Arial" w:cs="Arial" w:ascii="Arial" w:hAnsi="Arial"/>
          <w:sz w:val="20"/>
          <w:szCs w:val="20"/>
          <w:shd w:fill="B7B7B7" w:val="clear"/>
        </w:rPr>
        <w:t>________</w:t>
      </w:r>
      <w:r>
        <w:rPr>
          <w:rFonts w:eastAsia="Arial" w:cs="Arial" w:ascii="Arial" w:hAnsi="Arial"/>
          <w:sz w:val="20"/>
          <w:szCs w:val="20"/>
        </w:rPr>
        <w:t xml:space="preserve"> de </w:t>
      </w:r>
      <w:r>
        <w:rPr>
          <w:rFonts w:eastAsia="Arial" w:cs="Arial" w:ascii="Arial" w:hAnsi="Arial"/>
          <w:sz w:val="20"/>
          <w:szCs w:val="20"/>
          <w:shd w:fill="B7B7B7" w:val="clear"/>
        </w:rPr>
        <w:t>___________________________</w:t>
      </w:r>
      <w:r>
        <w:rPr>
          <w:rFonts w:eastAsia="Arial" w:cs="Arial" w:ascii="Arial" w:hAnsi="Arial"/>
          <w:sz w:val="20"/>
          <w:szCs w:val="20"/>
        </w:rPr>
        <w:t xml:space="preserve"> de 202</w:t>
      </w:r>
      <w:r>
        <w:rPr>
          <w:rFonts w:eastAsia="Arial" w:cs="Arial" w:ascii="Arial" w:hAnsi="Arial"/>
          <w:sz w:val="20"/>
          <w:szCs w:val="20"/>
        </w:rPr>
        <w:t>2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.  </w:t>
      </w:r>
    </w:p>
    <w:p>
      <w:pPr>
        <w:pStyle w:val="Normal1"/>
        <w:ind w:left="0" w:right="0" w:firstLine="85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Parágrafo Único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– Expirado o prazo de que trata o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caput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desta Cláusula, o presente instrumento será extinto, automaticamente, ficando 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UFSJ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isenta de quaisquer ônus com 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BOLSISTA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CLÁUSULA QUINTA – DO VALOR DA BOLSA DE EXTENSÃO E PAGAMENTO</w:t>
      </w:r>
    </w:p>
    <w:p>
      <w:pPr>
        <w:pStyle w:val="Normal1"/>
        <w:ind w:left="0" w:right="0" w:firstLine="851"/>
        <w:jc w:val="both"/>
        <w:rPr/>
      </w:pPr>
      <w:r>
        <w:rPr/>
      </w:r>
      <w:bookmarkStart w:id="1" w:name="bookmark=id.30j0zll"/>
      <w:bookmarkStart w:id="2" w:name="bookmark=id.30j0zll"/>
      <w:bookmarkEnd w:id="2"/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6.1 - O valor total da bolsa de extensão será de R$ 400,00 (quatrocentos reais) mensais para bolsas de 20 horas semanais, conforme Resolução nº 009, de 04 de outubro de 2012/CONDI;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6.2 - O pagamento deverá ser efetuado até o 10º (décimo) dia útil somente através de depósito em conta corrente da qual o(a) aluno(a) é titular único (Conta Poupança: apenas se for no Banco do Brasil).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CLÁUSULA SEXTA – DO CANCELAMENTO DA BOLSA</w:t>
      </w:r>
    </w:p>
    <w:p>
      <w:pPr>
        <w:pStyle w:val="Normal1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highlight w:val="magenta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highlight w:val="magenta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7.1 – A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UFSJ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poderá cancelar a bolsa a qualquer momento, caso seja verificado o não cumprimento das normas estabelecidas, cometimento de qualquer irregularidade no desenvolvimento do Projeto de ao qual está vinculado, conduta inadequada e falta disciplinar grave que fira as normas da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UFSJ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ou por trancamento e/ou desistência do curso, podendo a bolsa ser transferida para outro(a) acadêmico(a) que apresente condições para dar continuidade ao Projeto;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7.2 - É facultado ao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BOLSISTA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desistir da bolsa estabelecida neste Instrumento, mediante aviso prévio, entendimento com o Coordenador e imediata comunicação à PROEX, não lhe cabendo qualquer multa pelo desligamento.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CLÁUSULA SÉTIMA  DA RESCISÃO</w:t>
      </w:r>
    </w:p>
    <w:p>
      <w:pPr>
        <w:pStyle w:val="Normal1"/>
        <w:ind w:left="0" w:right="0" w:firstLine="85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8.1 – Pelo descumprimento das cláusulas e condições aqui pactuadas, o presente Termo de Compromisso poderá ser rescindido a qualquer tempo, independentemente de notificação judicial ou extrajudicial, sem acarretar quaisquer ônus para a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UFSJ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, desde que uma parte notifique a outra, por escrito, com antecedência mínima de 20 (vinte) dias. Quando a rescisão for solicitada pelo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, deverá ter aquiescência do Coordenador do Projeto;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ind w:left="0" w:right="0" w:firstLine="708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E, assim, por estarem justos e acordes, assinam o presente Instrumento 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COORDENADOR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do Projeto e o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BOLSISTA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.</w:t>
      </w:r>
    </w:p>
    <w:p>
      <w:pPr>
        <w:pStyle w:val="Normal1"/>
        <w:jc w:val="righ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righ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center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                                                                                       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São João del-Rei, xx de xxxxx de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2022</w:t>
      </w:r>
    </w:p>
    <w:p>
      <w:pPr>
        <w:pStyle w:val="Normal1"/>
        <w:jc w:val="righ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_______________________________________________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COORDENADOR xxxxxxxxxxxxxxxxxxxx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________________________________________________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BOLSISTA xxxxxxxxxxxxxxxxxxxxxxx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54" w:top="1134" w:footer="284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0" w:right="360" w:hanging="0"/>
      <w:jc w:val="center"/>
      <w:rPr>
        <w:rFonts w:ascii="Arial" w:hAnsi="Arial" w:eastAsia="Arial" w:cs="Arial"/>
        <w:position w:val="0"/>
        <w:sz w:val="24"/>
        <w:sz w:val="16"/>
        <w:szCs w:val="16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6794500</wp:posOffset>
              </wp:positionH>
              <wp:positionV relativeFrom="paragraph">
                <wp:posOffset>88900</wp:posOffset>
              </wp:positionV>
              <wp:extent cx="51435" cy="148590"/>
              <wp:effectExtent l="0" t="0" r="0" b="0"/>
              <wp:wrapSquare wrapText="bothSides"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0" cy="147960"/>
                      </a:xfrm>
                      <a:prstGeom prst="rect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3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t" style="position:absolute;margin-left:535pt;margin-top:7pt;width:3.95pt;height:11.6pt">
              <w10:wrap type="square"/>
              <v:fill o:detectmouseclick="t" type="solid" color2="black" opacity="0"/>
              <v:stroke color="black" weight="1908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3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position w:val="0"/>
        <w:sz w:val="24"/>
        <w:vertAlign w:val="baseline"/>
      </w:rPr>
      <w:br/>
    </w:r>
    <w:r>
      <w:rPr>
        <w:rFonts w:eastAsia="Arial" w:cs="Arial" w:ascii="Arial" w:hAnsi="Arial"/>
        <w:position w:val="0"/>
        <w:sz w:val="16"/>
        <w:sz w:val="16"/>
        <w:szCs w:val="16"/>
        <w:vertAlign w:val="baseline"/>
      </w:rPr>
      <w:t>Praça Dr. Augusto das Chagas Viegas, 17 - Largo do Carmo - Cep: 36.300-088 - São João del-Rei/MG</w:t>
    </w:r>
  </w:p>
  <w:p>
    <w:pPr>
      <w:pStyle w:val="Normal1"/>
      <w:jc w:val="center"/>
      <w:rPr>
        <w:position w:val="0"/>
        <w:sz w:val="24"/>
        <w:vertAlign w:val="baseline"/>
      </w:rPr>
    </w:pPr>
    <w:r>
      <w:rPr>
        <w:rFonts w:eastAsia="Arial" w:cs="Arial" w:ascii="Arial" w:hAnsi="Arial"/>
        <w:position w:val="0"/>
        <w:sz w:val="16"/>
        <w:sz w:val="16"/>
        <w:szCs w:val="16"/>
        <w:vertAlign w:val="baseline"/>
      </w:rPr>
      <w:t>Fone: (32) 3379-2510 – Email: sepac@ufsj.edu.br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/>
      <w:drawing>
        <wp:inline distT="0" distB="0" distL="0" distR="0">
          <wp:extent cx="967105" cy="85026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97255" cy="88582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e Assuntos Comunitários - PROEX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Andale Sans UI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Times New Roman" w:hAnsi="Times New Roman" w:eastAsia="Times New Roman" w:cs="Times New Roman"/>
      <w:b/>
      <w:bCs/>
      <w:color w:val="auto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3">
    <w:name w:val="Heading 3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2"/>
    </w:pPr>
    <w:rPr>
      <w:rFonts w:ascii="Arial" w:hAnsi="Arial" w:eastAsia="Andale Sans UI" w:cs="Tahoma"/>
      <w:b/>
      <w:bCs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b w:val="false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/>
    <w:rPr>
      <w:b w:val="false"/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b w:val="false"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b w:val="false"/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b w:val="false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Nmerodepgina">
    <w:name w:val="Número de página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Andale Sans UI" w:cs="Tahoma"/>
      <w:w w:val="100"/>
      <w:kern w:val="2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Char">
    <w:name w:val="Corpo de texto Char"/>
    <w:qFormat/>
    <w:rPr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next w:val="Subttul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Andale Sans UI" w:cs="Tahoma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 w:val="false"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ar-SA"/>
    </w:rPr>
  </w:style>
  <w:style w:type="paragraph" w:styleId="Lista">
    <w:name w:val="List"/>
    <w:basedOn w:val="Corpodotexto"/>
    <w:qFormat/>
    <w:pPr>
      <w:widowControl w:val="false"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Andale Sans UI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ar-SA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Andale Sans U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Andale Sans UI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egenda1">
    <w:name w:val="Legenda1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Andale Sans UI" w:cs="Tahoma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Normal1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etabe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Andale Sans UI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ar-SA"/>
    </w:rPr>
  </w:style>
  <w:style w:type="paragraph" w:styleId="Rodap">
    <w:name w:val="Footer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detexto31">
    <w:name w:val="Corpo de texto 31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MT" w:hAnsi="ArialMT" w:eastAsia="Times New Roman" w:cs="ArialMT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Andale Sans UI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und" w:eastAsia="zh-CN" w:bidi="ar-SA"/>
    </w:rPr>
  </w:style>
  <w:style w:type="paragraph" w:styleId="Default">
    <w:name w:val="Default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Arial" w:hAnsi="Arial" w:eastAsia="Times New Roma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Normal1"/>
    <w:qFormat/>
    <w:pPr>
      <w:widowControl w:val="false"/>
      <w:suppressAutoHyphens w:val="false"/>
      <w:bidi w:val="0"/>
      <w:spacing w:lineRule="atLeast" w:line="1" w:before="0" w:after="0"/>
      <w:ind w:left="720" w:right="0" w:hanging="0"/>
      <w:contextualSpacing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Andale Sans UI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EmnQrTvSQTHdceV9AkDUa/oHIw==">AMUW2mXLaK20+yipfHb8ZaN/Tv4BIYWj2R3P8FqOsYIXDAEFkDkQOanPgG9SMcMJ/6jkwwM/kbx4NQQ4fUvevHOAR1BIWnaTaqGGJ975s9haWH+p5+tRqUoW5wCag9dCth8nGwlWwXqHgATKou8EQnQdAYxEgv/IGw==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3</Pages>
  <Words>994</Words>
  <Characters>5638</Characters>
  <CharactersWithSpaces>6708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2019-11-04T11:47:00Z</dcterms:created>
  <dc:creator>secoc</dc:creator>
  <dc:description/>
  <dc:language>pt-BR</dc:language>
  <cp:lastModifiedBy/>
  <dcterms:modified xsi:type="dcterms:W3CDTF">2021-09-21T10:52:03Z</dcterms:modified>
  <cp:revision>3</cp:revision>
  <dc:subject/>
  <dc:title/>
</cp:coreProperties>
</file>